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B32" w:rsidRDefault="008E489C">
      <w:r>
        <w:t xml:space="preserve">Artículo 191. Al Titular de la Unidad de Asuntos Internos le corresponde el despacho de los siguientes asuntos: I. Vincular los cuerpos administrativos y operativos de esta Secretaría con la Dirección General de Administración; II. Llevar el registro y control del movimiento del personal administrativo y operativo adscrito a la corporación; III. Llevar el registro y control de incidencias del personal: méritos, deméritos, licencias, incapacidades, asistencia, permisos, comisiones y vacaciones; IV. Llevar el registro de las evaluaciones practicadas al personal de esta Secretaría; V. Programar, con el Director General de Administración, las visitas al personal administrativo y operativo; VI. Solicitar los listados del personal administrativo y operativo de la Secretaría; VII. Ser el conducto para conocer sobre los diversos problemas de carácter personal que afectan a los miembros de la corporación; VIII. Revisar los sistemas de selección, reclutamiento, depuración y ascensos de esta Secretaría; IX. Realizar cualquier investigación relacionada con las funciones propias de esta Secretaría que ordene su Titular; X. Coordinar y realizar acciones policiales </w:t>
      </w:r>
      <w:proofErr w:type="spellStart"/>
      <w:r>
        <w:t>especificas</w:t>
      </w:r>
      <w:proofErr w:type="spellEnd"/>
      <w:r>
        <w:t xml:space="preserve"> que aseguren la obtención, el análisis y aprovechamiento de información de inteligencia, para ubicar, identificar, prevenir y combatir la comisión de delitos; XI. Informar de forma inmediata al Secretario de las quejas o denuncias en las que se encuentre involucrado el personal de esta Secretaría, </w:t>
      </w:r>
      <w:proofErr w:type="spellStart"/>
      <w:r>
        <w:t>a si</w:t>
      </w:r>
      <w:proofErr w:type="spellEnd"/>
      <w:r>
        <w:t xml:space="preserve"> como de las investigaciones que le corresponda realizar, y XII. Las demás que le otorguen este Reglamento y otras disposiciones normativas aplicables.</w:t>
      </w:r>
      <w:bookmarkStart w:id="0" w:name="_GoBack"/>
      <w:bookmarkEnd w:id="0"/>
    </w:p>
    <w:sectPr w:rsidR="00903B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89C"/>
    <w:rsid w:val="008037D2"/>
    <w:rsid w:val="008E489C"/>
    <w:rsid w:val="00EE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93C878-341E-43D9-9781-D250E1AC5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Daniel Paredes Escamilla</dc:creator>
  <cp:keywords/>
  <dc:description/>
  <cp:lastModifiedBy>Carlos Daniel Paredes Escamilla</cp:lastModifiedBy>
  <cp:revision>1</cp:revision>
  <dcterms:created xsi:type="dcterms:W3CDTF">2019-08-26T19:07:00Z</dcterms:created>
  <dcterms:modified xsi:type="dcterms:W3CDTF">2019-08-26T19:08:00Z</dcterms:modified>
</cp:coreProperties>
</file>