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86"/>
        <w:tblW w:w="10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1701"/>
        <w:gridCol w:w="1774"/>
        <w:gridCol w:w="1619"/>
        <w:gridCol w:w="1921"/>
        <w:gridCol w:w="1619"/>
      </w:tblGrid>
      <w:tr w:rsidR="00F811C1" w:rsidRPr="004620C2" w14:paraId="7661EA51" w14:textId="77777777" w:rsidTr="00F811C1">
        <w:trPr>
          <w:trHeight w:val="330"/>
        </w:trPr>
        <w:tc>
          <w:tcPr>
            <w:tcW w:w="10738" w:type="dxa"/>
            <w:gridSpan w:val="6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1C9AB6C2" w14:textId="460DA920" w:rsidR="00F811C1" w:rsidRPr="004620C2" w:rsidRDefault="002C2B96" w:rsidP="00F254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MX"/>
              </w:rPr>
              <w:t>POLÍTICA</w:t>
            </w:r>
            <w:r w:rsidR="00BE3B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B671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 w:rsidR="00DC58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ACTUALIZACIÓN ANUAL  </w:t>
            </w:r>
            <w:r w:rsidR="00890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DC58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METAS Y OBJETIVOS DE </w:t>
            </w:r>
            <w:r w:rsidR="00F2547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MX"/>
              </w:rPr>
              <w:t>LA SECRETARIA DE SEGURIDAD PÚBLICA DEL ESTADO DE YUCATÁN.</w:t>
            </w:r>
          </w:p>
        </w:tc>
      </w:tr>
      <w:tr w:rsidR="00F811C1" w:rsidRPr="004620C2" w14:paraId="38936503" w14:textId="77777777" w:rsidTr="00F811C1">
        <w:trPr>
          <w:trHeight w:val="330"/>
        </w:trPr>
        <w:tc>
          <w:tcPr>
            <w:tcW w:w="2104" w:type="dxa"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25672E52" w14:textId="77777777" w:rsidR="00F811C1" w:rsidRPr="004620C2" w:rsidRDefault="00F811C1" w:rsidP="00F811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>Código: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0268D43D" w14:textId="6C52D4DC" w:rsidR="00F811C1" w:rsidRPr="004620C2" w:rsidRDefault="00F811C1" w:rsidP="00F811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4620C2">
              <w:rPr>
                <w:rFonts w:eastAsia="Times New Roman"/>
                <w:color w:val="000000"/>
                <w:lang w:eastAsia="es-MX"/>
              </w:rPr>
              <w:t> </w:t>
            </w:r>
            <w:r w:rsidR="0094567B">
              <w:rPr>
                <w:rFonts w:eastAsia="Times New Roman"/>
                <w:color w:val="000000"/>
                <w:lang w:eastAsia="es-MX"/>
              </w:rPr>
              <w:t>SSP-XXX-XXX-01</w:t>
            </w:r>
          </w:p>
        </w:tc>
        <w:tc>
          <w:tcPr>
            <w:tcW w:w="1774" w:type="dxa"/>
            <w:vMerge w:val="restart"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0AA2D07A" w14:textId="77777777" w:rsidR="00F811C1" w:rsidRPr="004620C2" w:rsidRDefault="00F811C1" w:rsidP="00F811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>Fecha de emisión:</w:t>
            </w:r>
          </w:p>
        </w:tc>
        <w:tc>
          <w:tcPr>
            <w:tcW w:w="1619" w:type="dxa"/>
            <w:vMerge w:val="restart"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23248129" w14:textId="51AF5B27" w:rsidR="00F811C1" w:rsidRPr="004620C2" w:rsidRDefault="00935A6B" w:rsidP="004B0C8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0</w:t>
            </w:r>
            <w:r w:rsidR="004B0C88">
              <w:rPr>
                <w:rFonts w:eastAsia="Times New Roman"/>
                <w:color w:val="000000"/>
                <w:lang w:eastAsia="es-MX"/>
              </w:rPr>
              <w:t>6</w:t>
            </w:r>
            <w:r w:rsidR="00F811C1" w:rsidRPr="004620C2">
              <w:rPr>
                <w:rFonts w:eastAsia="Times New Roman"/>
                <w:color w:val="000000"/>
                <w:lang w:eastAsia="es-MX"/>
              </w:rPr>
              <w:t>/</w:t>
            </w:r>
            <w:r>
              <w:rPr>
                <w:rFonts w:eastAsia="Times New Roman"/>
                <w:color w:val="000000"/>
                <w:lang w:eastAsia="es-MX"/>
              </w:rPr>
              <w:t>08</w:t>
            </w:r>
            <w:r w:rsidR="00F811C1" w:rsidRPr="004620C2">
              <w:rPr>
                <w:rFonts w:eastAsia="Times New Roman"/>
                <w:color w:val="000000"/>
                <w:lang w:eastAsia="es-MX"/>
              </w:rPr>
              <w:t>/</w:t>
            </w:r>
            <w:r w:rsidR="004B0C88">
              <w:rPr>
                <w:rFonts w:eastAsia="Times New Roman"/>
                <w:color w:val="000000"/>
                <w:lang w:eastAsia="es-MX"/>
              </w:rPr>
              <w:t>2019</w:t>
            </w:r>
          </w:p>
        </w:tc>
        <w:tc>
          <w:tcPr>
            <w:tcW w:w="1921" w:type="dxa"/>
            <w:vMerge w:val="restart"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vAlign w:val="center"/>
            <w:hideMark/>
          </w:tcPr>
          <w:p w14:paraId="4A7BCC24" w14:textId="77777777" w:rsidR="00F811C1" w:rsidRPr="004620C2" w:rsidRDefault="00F811C1" w:rsidP="00F811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>Fecha de actualización:</w:t>
            </w:r>
          </w:p>
        </w:tc>
        <w:tc>
          <w:tcPr>
            <w:tcW w:w="1619" w:type="dxa"/>
            <w:vMerge w:val="restart"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0A534BE6" w14:textId="77777777" w:rsidR="00F811C1" w:rsidRPr="004620C2" w:rsidRDefault="00F811C1" w:rsidP="00F811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4620C2">
              <w:rPr>
                <w:rFonts w:eastAsia="Times New Roman"/>
                <w:color w:val="000000"/>
                <w:lang w:eastAsia="es-MX"/>
              </w:rPr>
              <w:t>dd/mm/aaaa</w:t>
            </w:r>
          </w:p>
        </w:tc>
      </w:tr>
      <w:tr w:rsidR="00F811C1" w:rsidRPr="004620C2" w14:paraId="25F2666B" w14:textId="77777777" w:rsidTr="00F811C1">
        <w:trPr>
          <w:trHeight w:val="330"/>
        </w:trPr>
        <w:tc>
          <w:tcPr>
            <w:tcW w:w="2104" w:type="dxa"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0996EF3F" w14:textId="77777777" w:rsidR="00F811C1" w:rsidRPr="004620C2" w:rsidRDefault="00F811C1" w:rsidP="00F811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>Estándar</w:t>
            </w:r>
            <w:r w:rsidR="0071212A">
              <w:rPr>
                <w:rFonts w:eastAsia="Times New Roman"/>
                <w:b/>
                <w:bCs/>
                <w:color w:val="000000"/>
                <w:lang w:eastAsia="es-MX"/>
              </w:rPr>
              <w:t xml:space="preserve"> CALEA</w:t>
            </w: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7E64FE7A" w14:textId="4C785EB4" w:rsidR="00F811C1" w:rsidRPr="004620C2" w:rsidRDefault="00473BCA" w:rsidP="00F811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15.2.1</w:t>
            </w:r>
            <w:r w:rsidR="00F811C1" w:rsidRPr="004620C2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1774" w:type="dxa"/>
            <w:vMerge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vAlign w:val="center"/>
            <w:hideMark/>
          </w:tcPr>
          <w:p w14:paraId="0383902D" w14:textId="77777777" w:rsidR="00F811C1" w:rsidRPr="004620C2" w:rsidRDefault="00F811C1" w:rsidP="00F811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19" w:type="dxa"/>
            <w:vMerge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vAlign w:val="center"/>
            <w:hideMark/>
          </w:tcPr>
          <w:p w14:paraId="693EB994" w14:textId="77777777" w:rsidR="00F811C1" w:rsidRPr="004620C2" w:rsidRDefault="00F811C1" w:rsidP="00F811C1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1921" w:type="dxa"/>
            <w:vMerge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vAlign w:val="center"/>
            <w:hideMark/>
          </w:tcPr>
          <w:p w14:paraId="26625B8D" w14:textId="77777777" w:rsidR="00F811C1" w:rsidRPr="004620C2" w:rsidRDefault="00F811C1" w:rsidP="00F811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19" w:type="dxa"/>
            <w:vMerge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vAlign w:val="center"/>
            <w:hideMark/>
          </w:tcPr>
          <w:p w14:paraId="265F0292" w14:textId="77777777" w:rsidR="00F811C1" w:rsidRPr="004620C2" w:rsidRDefault="00F811C1" w:rsidP="00F811C1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811C1" w:rsidRPr="004620C2" w14:paraId="6423D4DC" w14:textId="77777777" w:rsidTr="00F811C1">
        <w:trPr>
          <w:trHeight w:val="330"/>
        </w:trPr>
        <w:tc>
          <w:tcPr>
            <w:tcW w:w="2104" w:type="dxa"/>
            <w:vMerge w:val="restart"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vAlign w:val="center"/>
            <w:hideMark/>
          </w:tcPr>
          <w:p w14:paraId="5F4FE65E" w14:textId="2760FD76" w:rsidR="00F811C1" w:rsidRPr="004620C2" w:rsidRDefault="0071212A" w:rsidP="00F811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lang w:eastAsia="es-MX"/>
              </w:rPr>
              <w:t>Área</w:t>
            </w:r>
            <w:r w:rsidR="00EC4D59">
              <w:rPr>
                <w:rFonts w:eastAsia="Times New Roman"/>
                <w:b/>
                <w:bCs/>
                <w:color w:val="000000"/>
                <w:lang w:eastAsia="es-MX"/>
              </w:rPr>
              <w:t xml:space="preserve"> responsable</w:t>
            </w:r>
            <w:r w:rsidR="00F811C1" w:rsidRPr="004620C2">
              <w:rPr>
                <w:rFonts w:eastAsia="Times New Roman"/>
                <w:b/>
                <w:bCs/>
                <w:color w:val="000000"/>
                <w:lang w:eastAsia="es-MX"/>
              </w:rPr>
              <w:t xml:space="preserve"> del procedimiento</w:t>
            </w:r>
          </w:p>
        </w:tc>
        <w:tc>
          <w:tcPr>
            <w:tcW w:w="8634" w:type="dxa"/>
            <w:gridSpan w:val="5"/>
            <w:vMerge w:val="restart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174599A4" w14:textId="1B6F53DB" w:rsidR="00F811C1" w:rsidRPr="004620C2" w:rsidRDefault="00E70BA2" w:rsidP="00F811C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14227A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>Departamento de Sistemas y Procedimientos de Control </w:t>
            </w:r>
            <w:r w:rsidR="00F811C1" w:rsidRPr="004620C2">
              <w:rPr>
                <w:rFonts w:eastAsia="Times New Roman"/>
                <w:color w:val="000000"/>
                <w:lang w:eastAsia="es-MX"/>
              </w:rPr>
              <w:t> </w:t>
            </w:r>
          </w:p>
        </w:tc>
      </w:tr>
      <w:tr w:rsidR="00F811C1" w:rsidRPr="004620C2" w14:paraId="19B76469" w14:textId="77777777" w:rsidTr="00F811C1">
        <w:trPr>
          <w:trHeight w:val="330"/>
        </w:trPr>
        <w:tc>
          <w:tcPr>
            <w:tcW w:w="2104" w:type="dxa"/>
            <w:vMerge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vAlign w:val="center"/>
            <w:hideMark/>
          </w:tcPr>
          <w:p w14:paraId="4DA9E32C" w14:textId="77777777" w:rsidR="00F811C1" w:rsidRPr="004620C2" w:rsidRDefault="00F811C1" w:rsidP="00F811C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8634" w:type="dxa"/>
            <w:gridSpan w:val="5"/>
            <w:vMerge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vAlign w:val="center"/>
            <w:hideMark/>
          </w:tcPr>
          <w:p w14:paraId="097CF45E" w14:textId="77777777" w:rsidR="00F811C1" w:rsidRPr="004620C2" w:rsidRDefault="00F811C1" w:rsidP="00F811C1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811C1" w:rsidRPr="004620C2" w14:paraId="6153DEF2" w14:textId="77777777" w:rsidTr="00F811C1">
        <w:trPr>
          <w:trHeight w:val="330"/>
        </w:trPr>
        <w:tc>
          <w:tcPr>
            <w:tcW w:w="10738" w:type="dxa"/>
            <w:gridSpan w:val="6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2B93D4B5" w14:textId="77777777" w:rsidR="00F811C1" w:rsidRPr="004620C2" w:rsidRDefault="00F811C1" w:rsidP="00F811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>OBJETIVO</w:t>
            </w:r>
          </w:p>
        </w:tc>
      </w:tr>
      <w:tr w:rsidR="00F811C1" w:rsidRPr="004620C2" w14:paraId="40E8B3F0" w14:textId="77777777" w:rsidTr="00F811C1">
        <w:trPr>
          <w:trHeight w:val="690"/>
        </w:trPr>
        <w:tc>
          <w:tcPr>
            <w:tcW w:w="10738" w:type="dxa"/>
            <w:gridSpan w:val="6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699CD6C8" w14:textId="2326F97E" w:rsidR="00F811C1" w:rsidRPr="004620C2" w:rsidRDefault="00A82FA8" w:rsidP="00AE507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 xml:space="preserve">La revisión </w:t>
            </w:r>
            <w:r w:rsidR="00936F8C">
              <w:rPr>
                <w:rFonts w:eastAsia="Times New Roman"/>
                <w:color w:val="000000"/>
                <w:lang w:eastAsia="es-MX"/>
              </w:rPr>
              <w:t xml:space="preserve"> del cumplimiento</w:t>
            </w:r>
            <w:r w:rsidR="000527C7">
              <w:rPr>
                <w:rFonts w:eastAsia="Times New Roman"/>
                <w:color w:val="000000"/>
                <w:lang w:eastAsia="es-MX"/>
              </w:rPr>
              <w:t xml:space="preserve"> anual </w:t>
            </w:r>
            <w:r w:rsidR="00936F8C">
              <w:rPr>
                <w:rFonts w:eastAsia="Times New Roman"/>
                <w:color w:val="000000"/>
                <w:lang w:eastAsia="es-MX"/>
              </w:rPr>
              <w:t xml:space="preserve"> de metas y objetivos </w:t>
            </w:r>
            <w:r w:rsidR="00867387">
              <w:rPr>
                <w:rFonts w:eastAsia="Times New Roman"/>
                <w:color w:val="000000"/>
                <w:lang w:eastAsia="es-MX"/>
              </w:rPr>
              <w:t>vinculados con</w:t>
            </w:r>
            <w:r w:rsidR="00AE507C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="00867387">
              <w:rPr>
                <w:rFonts w:eastAsia="Times New Roman"/>
                <w:color w:val="000000"/>
                <w:lang w:eastAsia="es-MX"/>
              </w:rPr>
              <w:t xml:space="preserve"> la</w:t>
            </w:r>
            <w:r w:rsidR="00AE507C">
              <w:rPr>
                <w:rFonts w:eastAsia="Times New Roman"/>
                <w:color w:val="000000"/>
                <w:lang w:eastAsia="es-MX"/>
              </w:rPr>
              <w:t>s</w:t>
            </w:r>
            <w:r w:rsidR="00867387">
              <w:rPr>
                <w:rFonts w:eastAsia="Times New Roman"/>
                <w:color w:val="000000"/>
                <w:lang w:eastAsia="es-MX"/>
              </w:rPr>
              <w:t xml:space="preserve"> acciones </w:t>
            </w:r>
            <w:r w:rsidR="00A54C69">
              <w:rPr>
                <w:rFonts w:eastAsia="Times New Roman"/>
                <w:color w:val="000000"/>
                <w:lang w:eastAsia="es-MX"/>
              </w:rPr>
              <w:t>estratégicas</w:t>
            </w:r>
            <w:r w:rsidR="00867387">
              <w:rPr>
                <w:rFonts w:eastAsia="Times New Roman"/>
                <w:color w:val="000000"/>
                <w:lang w:eastAsia="es-MX"/>
              </w:rPr>
              <w:t xml:space="preserve"> de la dependencia. </w:t>
            </w:r>
            <w:r w:rsidR="0025513E">
              <w:rPr>
                <w:rFonts w:eastAsia="Times New Roman"/>
                <w:color w:val="000000"/>
                <w:lang w:eastAsia="es-MX"/>
              </w:rPr>
              <w:t xml:space="preserve"> </w:t>
            </w:r>
          </w:p>
        </w:tc>
      </w:tr>
      <w:tr w:rsidR="00F811C1" w:rsidRPr="004620C2" w14:paraId="08F669E0" w14:textId="77777777" w:rsidTr="00F811C1">
        <w:trPr>
          <w:trHeight w:val="330"/>
        </w:trPr>
        <w:tc>
          <w:tcPr>
            <w:tcW w:w="10738" w:type="dxa"/>
            <w:gridSpan w:val="6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3A4BCCA3" w14:textId="77777777" w:rsidR="00F811C1" w:rsidRPr="004620C2" w:rsidRDefault="0071212A" w:rsidP="00F811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lang w:eastAsia="es-MX"/>
              </w:rPr>
              <w:t>ÁREAS INVOLUCRADAS</w:t>
            </w:r>
          </w:p>
        </w:tc>
      </w:tr>
      <w:tr w:rsidR="00F811C1" w:rsidRPr="004620C2" w14:paraId="26E34CEB" w14:textId="77777777" w:rsidTr="00F811C1">
        <w:trPr>
          <w:trHeight w:val="735"/>
        </w:trPr>
        <w:tc>
          <w:tcPr>
            <w:tcW w:w="10738" w:type="dxa"/>
            <w:gridSpan w:val="6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1A3622F0" w14:textId="3338F287" w:rsidR="00E83E7F" w:rsidRPr="004620C2" w:rsidRDefault="00E83E7F" w:rsidP="00E83E7F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  <w:r w:rsidRPr="00E83E7F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> </w:t>
            </w:r>
          </w:p>
          <w:p w14:paraId="4A334379" w14:textId="77777777" w:rsidR="00EF4890" w:rsidRDefault="00EF4890" w:rsidP="00F811C1">
            <w:pPr>
              <w:spacing w:after="0" w:line="240" w:lineRule="auto"/>
              <w:jc w:val="center"/>
              <w:rPr>
                <w:rFonts w:ascii="Barlow" w:eastAsia="Times New Roman" w:hAnsi="Barl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Barlow" w:eastAsia="Times New Roman" w:hAnsi="Barlow" w:cs="Arial"/>
                <w:color w:val="000000"/>
                <w:sz w:val="24"/>
                <w:szCs w:val="24"/>
                <w:lang w:eastAsia="es-MX"/>
              </w:rPr>
              <w:t>Secretaría de Administración y Finanzas</w:t>
            </w:r>
          </w:p>
          <w:p w14:paraId="4D6EEAF7" w14:textId="7AFCC30E" w:rsidR="00EF4890" w:rsidRDefault="007F4B8B" w:rsidP="00F811C1">
            <w:pPr>
              <w:spacing w:after="0" w:line="240" w:lineRule="auto"/>
              <w:jc w:val="center"/>
              <w:rPr>
                <w:rFonts w:ascii="Barlow" w:eastAsia="Times New Roman" w:hAnsi="Barl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Barlow" w:eastAsia="Times New Roman" w:hAnsi="Barlow" w:cs="Arial"/>
                <w:color w:val="000000"/>
                <w:sz w:val="24"/>
                <w:szCs w:val="24"/>
                <w:lang w:eastAsia="es-MX"/>
              </w:rPr>
              <w:t>Secretaría</w:t>
            </w:r>
            <w:r w:rsidR="00EF4890">
              <w:rPr>
                <w:rFonts w:ascii="Barlow" w:eastAsia="Times New Roman" w:hAnsi="Barlow" w:cs="Arial"/>
                <w:color w:val="000000"/>
                <w:sz w:val="24"/>
                <w:szCs w:val="24"/>
                <w:lang w:eastAsia="es-MX"/>
              </w:rPr>
              <w:t xml:space="preserve"> de Seguridad Pública</w:t>
            </w:r>
          </w:p>
          <w:p w14:paraId="704875FD" w14:textId="459C6ABB" w:rsidR="00EF4890" w:rsidRPr="008E27C7" w:rsidRDefault="00EF4890" w:rsidP="00F811C1">
            <w:pPr>
              <w:spacing w:after="0" w:line="240" w:lineRule="auto"/>
              <w:jc w:val="center"/>
              <w:rPr>
                <w:rFonts w:ascii="Barlow" w:eastAsia="Times New Roman" w:hAnsi="Barl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811C1" w:rsidRPr="004620C2" w14:paraId="27425DB5" w14:textId="77777777" w:rsidTr="00F811C1">
        <w:trPr>
          <w:trHeight w:val="330"/>
        </w:trPr>
        <w:tc>
          <w:tcPr>
            <w:tcW w:w="10738" w:type="dxa"/>
            <w:gridSpan w:val="6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790A9D52" w14:textId="77777777" w:rsidR="00F811C1" w:rsidRPr="004620C2" w:rsidRDefault="00F811C1" w:rsidP="00F811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>FUNDAMENTO LEGAL</w:t>
            </w:r>
          </w:p>
        </w:tc>
      </w:tr>
      <w:tr w:rsidR="00F811C1" w:rsidRPr="004620C2" w14:paraId="1B0A226A" w14:textId="77777777" w:rsidTr="00F811C1">
        <w:trPr>
          <w:trHeight w:val="600"/>
        </w:trPr>
        <w:tc>
          <w:tcPr>
            <w:tcW w:w="10738" w:type="dxa"/>
            <w:gridSpan w:val="6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59AA5B28" w14:textId="1F34295F" w:rsidR="00E83E7F" w:rsidRPr="00E83E7F" w:rsidRDefault="00E83E7F" w:rsidP="00E83E7F">
            <w:pPr>
              <w:spacing w:after="0" w:line="240" w:lineRule="auto"/>
              <w:jc w:val="both"/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</w:pPr>
            <w:r w:rsidRPr="00E83E7F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7777F59B" w14:textId="600BDFD5" w:rsidR="00E83E7F" w:rsidRDefault="00E83E7F" w:rsidP="00E83E7F">
            <w:pPr>
              <w:spacing w:after="0" w:line="240" w:lineRule="auto"/>
              <w:jc w:val="both"/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</w:pPr>
            <w:r w:rsidRPr="00E83E7F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>Artículo</w:t>
            </w:r>
            <w:r w:rsidR="005110B7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>s 28</w:t>
            </w:r>
            <w:r w:rsidR="00691216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>,</w:t>
            </w:r>
            <w:r w:rsidR="006976AF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5110B7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 w:rsidR="007D7833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55 </w:t>
            </w:r>
            <w:r w:rsidR="004078AE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4122CD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fracción </w:t>
            </w:r>
            <w:proofErr w:type="gramEnd"/>
            <w:r w:rsidR="001B6A0A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</w:t>
            </w:r>
            <w:bookmarkStart w:id="0" w:name="_GoBack"/>
            <w:bookmarkEnd w:id="0"/>
            <w:r w:rsidR="004122CD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XIV  y </w:t>
            </w:r>
            <w:r w:rsidR="007D7833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59 </w:t>
            </w:r>
            <w:r w:rsidRPr="00E83E7F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de la Constitución Política del Estado de Yucatán.</w:t>
            </w:r>
          </w:p>
          <w:p w14:paraId="6AD4B2FC" w14:textId="3FCA68F8" w:rsidR="003412D0" w:rsidRPr="00E83E7F" w:rsidRDefault="00F612A5" w:rsidP="00E83E7F">
            <w:pPr>
              <w:spacing w:after="0" w:line="240" w:lineRule="auto"/>
              <w:jc w:val="both"/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>Artículo</w:t>
            </w:r>
            <w:r w:rsidR="00351BFD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>s 9, 24</w:t>
            </w:r>
            <w:r w:rsidR="007D7833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 y </w:t>
            </w:r>
            <w:r w:rsidR="00351BFD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30 </w:t>
            </w:r>
            <w:r w:rsidR="00DA6AD0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700279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DD3DAC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412D0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>Ley de Planeación para el Desarrollo del Estado de Yucatán</w:t>
            </w:r>
            <w:r w:rsidR="00691216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>.</w:t>
            </w:r>
          </w:p>
          <w:p w14:paraId="72377EFA" w14:textId="5329D573" w:rsidR="00E83E7F" w:rsidRPr="00E83E7F" w:rsidRDefault="00E83E7F" w:rsidP="00E83E7F">
            <w:pPr>
              <w:spacing w:after="0" w:line="240" w:lineRule="auto"/>
              <w:jc w:val="both"/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</w:pPr>
            <w:r w:rsidRPr="00E83E7F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Artículo 187 fracciones </w:t>
            </w:r>
            <w:r w:rsidR="00904978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V, X, XIII y XXV</w:t>
            </w:r>
            <w:r w:rsidRPr="00E83E7F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 xml:space="preserve"> del Reglamento del Código de la Ad</w:t>
            </w:r>
            <w:r w:rsidR="00723CE1">
              <w:rPr>
                <w:rFonts w:ascii="Barlow" w:eastAsia="Times New Roman" w:hAnsi="Barlow"/>
                <w:color w:val="000000"/>
                <w:sz w:val="24"/>
                <w:szCs w:val="24"/>
                <w:lang w:eastAsia="es-MX"/>
              </w:rPr>
              <w:t>ministración Pública de Yucatán.</w:t>
            </w:r>
          </w:p>
          <w:p w14:paraId="3811B99A" w14:textId="560F4484" w:rsidR="00F811C1" w:rsidRPr="004620C2" w:rsidRDefault="00E83E7F" w:rsidP="00E83E7F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4620C2">
              <w:rPr>
                <w:rFonts w:eastAsia="Times New Roman"/>
                <w:color w:val="000000"/>
                <w:lang w:eastAsia="es-MX"/>
              </w:rPr>
              <w:t> </w:t>
            </w:r>
          </w:p>
        </w:tc>
      </w:tr>
      <w:tr w:rsidR="00F811C1" w:rsidRPr="004620C2" w14:paraId="460F303D" w14:textId="77777777" w:rsidTr="00F811C1">
        <w:trPr>
          <w:trHeight w:val="330"/>
        </w:trPr>
        <w:tc>
          <w:tcPr>
            <w:tcW w:w="10738" w:type="dxa"/>
            <w:gridSpan w:val="6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6ED6EB56" w14:textId="3C7D8479" w:rsidR="00F811C1" w:rsidRPr="004620C2" w:rsidRDefault="00F811C1" w:rsidP="002C2B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</w:tc>
      </w:tr>
      <w:tr w:rsidR="002C2B96" w:rsidRPr="008E27C7" w14:paraId="71D4BFD8" w14:textId="77777777" w:rsidTr="002C2B96">
        <w:trPr>
          <w:trHeight w:val="1080"/>
        </w:trPr>
        <w:tc>
          <w:tcPr>
            <w:tcW w:w="10738" w:type="dxa"/>
            <w:gridSpan w:val="6"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2B388007" w14:textId="14F52395" w:rsidR="000C19C1" w:rsidRPr="008E27C7" w:rsidRDefault="000C19C1" w:rsidP="00DE4A60">
            <w:pPr>
              <w:pStyle w:val="Default"/>
              <w:jc w:val="both"/>
              <w:rPr>
                <w:rFonts w:ascii="Barlow" w:hAnsi="Barlow"/>
              </w:rPr>
            </w:pPr>
            <w:r w:rsidRPr="008E27C7">
              <w:rPr>
                <w:rFonts w:ascii="Barlow" w:hAnsi="Barlow"/>
              </w:rPr>
              <w:t xml:space="preserve"> </w:t>
            </w:r>
          </w:p>
          <w:p w14:paraId="562FACDF" w14:textId="3BAB44BE" w:rsidR="006776A4" w:rsidRDefault="00AC6459" w:rsidP="00DE4A60">
            <w:pPr>
              <w:pStyle w:val="Default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El Secretario de Seguridad Pública del  estado de Yucatán, </w:t>
            </w:r>
            <w:r w:rsidR="006776A4">
              <w:rPr>
                <w:rFonts w:ascii="Barlow" w:hAnsi="Barlow"/>
              </w:rPr>
              <w:t>en cumplimiento a las facultades y obligaciones</w:t>
            </w:r>
            <w:r w:rsidR="00202D65">
              <w:rPr>
                <w:rFonts w:ascii="Barlow" w:hAnsi="Barlow"/>
              </w:rPr>
              <w:t xml:space="preserve"> conferidas </w:t>
            </w:r>
            <w:r w:rsidR="00EC72D6">
              <w:rPr>
                <w:rFonts w:ascii="Barlow" w:hAnsi="Barlow"/>
              </w:rPr>
              <w:t xml:space="preserve">por el titular del poder ejecutivo </w:t>
            </w:r>
            <w:r w:rsidR="00202D65">
              <w:rPr>
                <w:rFonts w:ascii="Barlow" w:hAnsi="Barlow"/>
              </w:rPr>
              <w:t>en el Reglamento del Código de la Administración Pública de Yucatán:</w:t>
            </w:r>
          </w:p>
          <w:p w14:paraId="00F01227" w14:textId="77777777" w:rsidR="00202D65" w:rsidRDefault="00202D65" w:rsidP="00DE4A60">
            <w:pPr>
              <w:pStyle w:val="Default"/>
              <w:jc w:val="both"/>
              <w:rPr>
                <w:rFonts w:ascii="Barlow" w:hAnsi="Barlow"/>
              </w:rPr>
            </w:pPr>
          </w:p>
          <w:p w14:paraId="4225C6AA" w14:textId="4CB024CB" w:rsidR="000C19C1" w:rsidRPr="008E27C7" w:rsidRDefault="00225CB9" w:rsidP="00712A9D">
            <w:pPr>
              <w:pStyle w:val="Default"/>
              <w:jc w:val="both"/>
              <w:rPr>
                <w:rFonts w:ascii="Barlow" w:hAnsi="Barlow"/>
                <w:color w:val="auto"/>
              </w:rPr>
            </w:pPr>
            <w:r>
              <w:rPr>
                <w:rFonts w:ascii="Barlow" w:hAnsi="Barlow"/>
              </w:rPr>
              <w:t>A</w:t>
            </w:r>
            <w:r w:rsidR="00AC6459">
              <w:rPr>
                <w:rFonts w:ascii="Barlow" w:hAnsi="Barlow"/>
              </w:rPr>
              <w:t xml:space="preserve">nalizará </w:t>
            </w:r>
            <w:r w:rsidR="000C19C1" w:rsidRPr="008E27C7">
              <w:rPr>
                <w:rFonts w:ascii="Barlow" w:hAnsi="Barlow"/>
              </w:rPr>
              <w:t xml:space="preserve"> la problemática de seguridad </w:t>
            </w:r>
            <w:r w:rsidR="00E67F8F">
              <w:rPr>
                <w:rFonts w:ascii="Barlow" w:hAnsi="Barlow"/>
              </w:rPr>
              <w:t>P</w:t>
            </w:r>
            <w:r w:rsidR="000C19C1" w:rsidRPr="008E27C7">
              <w:rPr>
                <w:rFonts w:ascii="Barlow" w:hAnsi="Barlow"/>
              </w:rPr>
              <w:t>ública en el Estado</w:t>
            </w:r>
            <w:r w:rsidR="00DD72A5">
              <w:rPr>
                <w:rFonts w:ascii="Barlow" w:hAnsi="Barlow"/>
              </w:rPr>
              <w:t xml:space="preserve">, </w:t>
            </w:r>
            <w:r w:rsidR="00CC3F22">
              <w:rPr>
                <w:rFonts w:ascii="Barlow" w:hAnsi="Barlow"/>
              </w:rPr>
              <w:t xml:space="preserve"> </w:t>
            </w:r>
            <w:r>
              <w:rPr>
                <w:rFonts w:ascii="Barlow" w:hAnsi="Barlow"/>
              </w:rPr>
              <w:t xml:space="preserve">con </w:t>
            </w:r>
            <w:r w:rsidR="00B331FA">
              <w:rPr>
                <w:rFonts w:ascii="Barlow" w:hAnsi="Barlow"/>
              </w:rPr>
              <w:t xml:space="preserve">el propósito de mantener la seguridad de los habitantes </w:t>
            </w:r>
            <w:r w:rsidR="006C0CA1">
              <w:rPr>
                <w:rFonts w:ascii="Barlow" w:hAnsi="Barlow"/>
              </w:rPr>
              <w:t>del estado de Yucatán,</w:t>
            </w:r>
            <w:r w:rsidR="00DD72A5">
              <w:rPr>
                <w:rFonts w:ascii="Barlow" w:hAnsi="Barlow"/>
              </w:rPr>
              <w:t xml:space="preserve"> implementa</w:t>
            </w:r>
            <w:r w:rsidR="00396213">
              <w:rPr>
                <w:rFonts w:ascii="Barlow" w:hAnsi="Barlow"/>
              </w:rPr>
              <w:t>ndo</w:t>
            </w:r>
            <w:r w:rsidR="006C0CA1">
              <w:rPr>
                <w:rFonts w:ascii="Barlow" w:hAnsi="Barlow"/>
              </w:rPr>
              <w:t xml:space="preserve"> acciones estructurales de prevención del delito</w:t>
            </w:r>
            <w:r w:rsidR="00E02FCF">
              <w:rPr>
                <w:rFonts w:ascii="Barlow" w:hAnsi="Barlow"/>
              </w:rPr>
              <w:t>,</w:t>
            </w:r>
            <w:r w:rsidR="00E67F8F">
              <w:rPr>
                <w:rFonts w:ascii="Barlow" w:hAnsi="Barlow"/>
              </w:rPr>
              <w:t xml:space="preserve"> </w:t>
            </w:r>
            <w:r w:rsidR="007E340F">
              <w:rPr>
                <w:rFonts w:ascii="Barlow" w:hAnsi="Barlow"/>
              </w:rPr>
              <w:t>con la integración de</w:t>
            </w:r>
            <w:r w:rsidR="00E02FCF">
              <w:rPr>
                <w:rFonts w:ascii="Barlow" w:hAnsi="Barlow"/>
              </w:rPr>
              <w:t xml:space="preserve"> </w:t>
            </w:r>
            <w:r w:rsidR="000C19C1" w:rsidRPr="008E27C7">
              <w:rPr>
                <w:rFonts w:ascii="Barlow" w:hAnsi="Barlow"/>
              </w:rPr>
              <w:t xml:space="preserve"> proyectos y programas preventivos, tendientes a evitar la comisión de hechos delictivos y transgresiones a normas, leyes y reglamentos, que afecten el orden, la tranquilidad y seguridad pública en el Estado, así como los relativos a la prevención social contra la delincuencia; </w:t>
            </w:r>
            <w:r w:rsidR="007E340F">
              <w:rPr>
                <w:rFonts w:ascii="Barlow" w:hAnsi="Barlow"/>
              </w:rPr>
              <w:t xml:space="preserve">ejecutando programas </w:t>
            </w:r>
            <w:r w:rsidR="00333A16">
              <w:rPr>
                <w:rFonts w:ascii="Barlow" w:hAnsi="Barlow"/>
              </w:rPr>
              <w:t xml:space="preserve"> y actividades con las dependencias </w:t>
            </w:r>
            <w:r w:rsidR="00FA5D4D">
              <w:rPr>
                <w:rFonts w:ascii="Barlow" w:hAnsi="Barlow"/>
              </w:rPr>
              <w:t xml:space="preserve">a </w:t>
            </w:r>
            <w:r w:rsidR="00333A16">
              <w:rPr>
                <w:rFonts w:ascii="Barlow" w:hAnsi="Barlow"/>
              </w:rPr>
              <w:t>fines del Gobierno Federal y otras entidades federativas, así como los gobiernos municipales en materia de seguridad pública, orden público</w:t>
            </w:r>
            <w:r w:rsidR="00712A9D">
              <w:rPr>
                <w:rFonts w:ascii="Barlow" w:hAnsi="Barlow"/>
              </w:rPr>
              <w:t xml:space="preserve">, tránsito y vialidad, en el ámbito de su competencia; </w:t>
            </w:r>
            <w:r w:rsidR="000C19C1" w:rsidRPr="008E27C7">
              <w:rPr>
                <w:rFonts w:ascii="Barlow" w:hAnsi="Barlow"/>
                <w:color w:val="auto"/>
              </w:rPr>
              <w:t>impulsa</w:t>
            </w:r>
            <w:r w:rsidR="00712A9D">
              <w:rPr>
                <w:rFonts w:ascii="Barlow" w:hAnsi="Barlow"/>
                <w:color w:val="auto"/>
              </w:rPr>
              <w:t>ndo</w:t>
            </w:r>
            <w:r w:rsidR="000C19C1" w:rsidRPr="008E27C7">
              <w:rPr>
                <w:rFonts w:ascii="Barlow" w:hAnsi="Barlow"/>
                <w:color w:val="auto"/>
              </w:rPr>
              <w:t xml:space="preserve"> programas preventivos y educativos en materia de prevención del delito entre la población y organizaciones vecinales</w:t>
            </w:r>
            <w:r w:rsidR="00A030F3">
              <w:rPr>
                <w:rFonts w:ascii="Barlow" w:hAnsi="Barlow"/>
                <w:color w:val="auto"/>
              </w:rPr>
              <w:t xml:space="preserve">, </w:t>
            </w:r>
            <w:r w:rsidR="000C19C1" w:rsidRPr="008E27C7">
              <w:rPr>
                <w:rFonts w:ascii="Barlow" w:hAnsi="Barlow"/>
                <w:color w:val="auto"/>
              </w:rPr>
              <w:t xml:space="preserve"> </w:t>
            </w:r>
            <w:r w:rsidR="00D0757C">
              <w:rPr>
                <w:rFonts w:ascii="Barlow" w:hAnsi="Barlow"/>
                <w:color w:val="auto"/>
              </w:rPr>
              <w:t xml:space="preserve">procurando la revisión periódica </w:t>
            </w:r>
            <w:r w:rsidR="007452C5">
              <w:rPr>
                <w:rFonts w:ascii="Barlow" w:hAnsi="Barlow"/>
                <w:color w:val="auto"/>
              </w:rPr>
              <w:t>de</w:t>
            </w:r>
            <w:r w:rsidR="00830687">
              <w:rPr>
                <w:rFonts w:ascii="Barlow" w:hAnsi="Barlow"/>
                <w:color w:val="auto"/>
              </w:rPr>
              <w:t xml:space="preserve">l cumplimiento de </w:t>
            </w:r>
            <w:r w:rsidR="007452C5">
              <w:rPr>
                <w:rFonts w:ascii="Barlow" w:hAnsi="Barlow"/>
                <w:color w:val="auto"/>
              </w:rPr>
              <w:t xml:space="preserve"> los programas </w:t>
            </w:r>
            <w:r w:rsidR="00ED0212">
              <w:rPr>
                <w:rFonts w:ascii="Barlow" w:hAnsi="Barlow"/>
                <w:color w:val="auto"/>
              </w:rPr>
              <w:t>establecidos</w:t>
            </w:r>
            <w:r w:rsidR="007452C5">
              <w:rPr>
                <w:rFonts w:ascii="Barlow" w:hAnsi="Barlow"/>
                <w:color w:val="auto"/>
              </w:rPr>
              <w:t>, mediante</w:t>
            </w:r>
            <w:r w:rsidR="0063350D">
              <w:rPr>
                <w:rFonts w:ascii="Barlow" w:hAnsi="Barlow"/>
                <w:color w:val="auto"/>
              </w:rPr>
              <w:t xml:space="preserve"> </w:t>
            </w:r>
            <w:r w:rsidR="00ED0212">
              <w:rPr>
                <w:rFonts w:ascii="Barlow" w:hAnsi="Barlow"/>
                <w:color w:val="auto"/>
              </w:rPr>
              <w:t xml:space="preserve"> informes</w:t>
            </w:r>
            <w:r w:rsidR="0015714D">
              <w:rPr>
                <w:rFonts w:ascii="Barlow" w:hAnsi="Barlow"/>
                <w:color w:val="auto"/>
              </w:rPr>
              <w:t xml:space="preserve"> de seguimiento</w:t>
            </w:r>
            <w:r w:rsidR="002B72DA">
              <w:rPr>
                <w:rFonts w:ascii="Barlow" w:hAnsi="Barlow"/>
                <w:color w:val="auto"/>
              </w:rPr>
              <w:t xml:space="preserve"> y evaluación</w:t>
            </w:r>
            <w:r w:rsidR="004D21FF">
              <w:rPr>
                <w:rFonts w:ascii="Barlow" w:hAnsi="Barlow"/>
                <w:color w:val="auto"/>
              </w:rPr>
              <w:t>,</w:t>
            </w:r>
            <w:r w:rsidR="0015714D">
              <w:rPr>
                <w:rFonts w:ascii="Barlow" w:hAnsi="Barlow"/>
                <w:color w:val="auto"/>
              </w:rPr>
              <w:t xml:space="preserve"> con la finalidad de</w:t>
            </w:r>
            <w:r w:rsidR="000906AC">
              <w:rPr>
                <w:rFonts w:ascii="Barlow" w:hAnsi="Barlow"/>
                <w:color w:val="auto"/>
              </w:rPr>
              <w:t xml:space="preserve"> actualizar las </w:t>
            </w:r>
            <w:r w:rsidR="004D21FF">
              <w:rPr>
                <w:rFonts w:ascii="Barlow" w:hAnsi="Barlow"/>
                <w:color w:val="auto"/>
              </w:rPr>
              <w:t>metas</w:t>
            </w:r>
            <w:r w:rsidR="000906AC">
              <w:rPr>
                <w:rFonts w:ascii="Barlow" w:hAnsi="Barlow"/>
                <w:color w:val="auto"/>
              </w:rPr>
              <w:t xml:space="preserve"> y objetivos</w:t>
            </w:r>
            <w:r w:rsidR="004D21FF">
              <w:rPr>
                <w:rFonts w:ascii="Barlow" w:hAnsi="Barlow"/>
                <w:color w:val="auto"/>
              </w:rPr>
              <w:t xml:space="preserve"> anuales </w:t>
            </w:r>
            <w:r w:rsidR="000906AC">
              <w:rPr>
                <w:rFonts w:ascii="Barlow" w:hAnsi="Barlow"/>
                <w:color w:val="auto"/>
              </w:rPr>
              <w:t xml:space="preserve"> de la dependencia, a través de </w:t>
            </w:r>
            <w:r w:rsidR="002B72DA">
              <w:rPr>
                <w:rFonts w:ascii="Barlow" w:hAnsi="Barlow"/>
                <w:color w:val="auto"/>
              </w:rPr>
              <w:t xml:space="preserve">los diferentes niveles de la estructura orgánica de la Secretaría de Seguridad Pública del Estado de Yucatán. </w:t>
            </w:r>
            <w:r w:rsidR="00830687">
              <w:rPr>
                <w:rFonts w:ascii="Barlow" w:hAnsi="Barlow"/>
                <w:color w:val="auto"/>
              </w:rPr>
              <w:t xml:space="preserve"> </w:t>
            </w:r>
            <w:r w:rsidR="007452C5">
              <w:rPr>
                <w:rFonts w:ascii="Barlow" w:hAnsi="Barlow"/>
                <w:color w:val="auto"/>
              </w:rPr>
              <w:t xml:space="preserve"> </w:t>
            </w:r>
          </w:p>
          <w:p w14:paraId="50B2AE47" w14:textId="6C4CF0C5" w:rsidR="00761BA6" w:rsidRPr="008E27C7" w:rsidRDefault="00761BA6" w:rsidP="007452C5">
            <w:pPr>
              <w:pStyle w:val="Default"/>
              <w:rPr>
                <w:rFonts w:ascii="Barlow" w:eastAsia="Times New Roman" w:hAnsi="Barlow"/>
                <w:lang w:eastAsia="es-MX"/>
              </w:rPr>
            </w:pPr>
          </w:p>
        </w:tc>
      </w:tr>
    </w:tbl>
    <w:p w14:paraId="5DAF1BB3" w14:textId="77777777" w:rsidR="006659BE" w:rsidRDefault="006659BE"/>
    <w:p w14:paraId="1220E9FC" w14:textId="77777777" w:rsidR="00761BA6" w:rsidRDefault="00761BA6"/>
    <w:tbl>
      <w:tblPr>
        <w:tblpPr w:leftFromText="141" w:rightFromText="141" w:vertAnchor="page" w:horzAnchor="page" w:tblpX="1191" w:tblpY="2521"/>
        <w:tblW w:w="10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5116"/>
      </w:tblGrid>
      <w:tr w:rsidR="0008642D" w:rsidRPr="00F811C1" w14:paraId="619EC031" w14:textId="77777777" w:rsidTr="0008642D">
        <w:trPr>
          <w:trHeight w:val="349"/>
        </w:trPr>
        <w:tc>
          <w:tcPr>
            <w:tcW w:w="10715" w:type="dxa"/>
            <w:gridSpan w:val="2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52F023EB" w14:textId="77777777" w:rsidR="0008642D" w:rsidRPr="00F811C1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F811C1">
              <w:rPr>
                <w:rFonts w:eastAsia="Times New Roman"/>
                <w:b/>
                <w:bCs/>
                <w:color w:val="000000"/>
                <w:lang w:eastAsia="es-MX"/>
              </w:rPr>
              <w:t>VALIDACIÓN</w:t>
            </w:r>
          </w:p>
        </w:tc>
      </w:tr>
      <w:tr w:rsidR="0008642D" w:rsidRPr="00F811C1" w14:paraId="764DCEF5" w14:textId="77777777" w:rsidTr="0008642D">
        <w:trPr>
          <w:trHeight w:val="349"/>
        </w:trPr>
        <w:tc>
          <w:tcPr>
            <w:tcW w:w="5599" w:type="dxa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bottom"/>
            <w:hideMark/>
          </w:tcPr>
          <w:p w14:paraId="223FFF21" w14:textId="77777777" w:rsidR="0008642D" w:rsidRPr="00F811C1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F811C1">
              <w:rPr>
                <w:rFonts w:eastAsia="Times New Roman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5116" w:type="dxa"/>
            <w:tcBorders>
              <w:top w:val="double" w:sz="6" w:space="0" w:color="AEAAAA"/>
              <w:left w:val="nil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bottom"/>
            <w:hideMark/>
          </w:tcPr>
          <w:p w14:paraId="0C2B5AFA" w14:textId="77777777" w:rsidR="0008642D" w:rsidRPr="00F811C1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F811C1">
              <w:rPr>
                <w:rFonts w:eastAsia="Times New Roman"/>
                <w:b/>
                <w:bCs/>
                <w:color w:val="000000"/>
                <w:lang w:eastAsia="es-MX"/>
              </w:rPr>
              <w:t>Autorizó</w:t>
            </w:r>
          </w:p>
        </w:tc>
      </w:tr>
      <w:tr w:rsidR="0008642D" w:rsidRPr="00F811C1" w14:paraId="5A6598E7" w14:textId="77777777" w:rsidTr="0008642D">
        <w:trPr>
          <w:trHeight w:val="903"/>
        </w:trPr>
        <w:tc>
          <w:tcPr>
            <w:tcW w:w="5599" w:type="dxa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bottom"/>
            <w:hideMark/>
          </w:tcPr>
          <w:p w14:paraId="2209784E" w14:textId="77777777" w:rsidR="0008642D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lang w:eastAsia="es-MX"/>
              </w:rPr>
              <w:t>LIC. ALMA JOSEFINA LARA MONTALVO.</w:t>
            </w:r>
            <w:r w:rsidRPr="00F811C1">
              <w:rPr>
                <w:rFonts w:eastAsia="Times New Roman"/>
                <w:b/>
                <w:bCs/>
                <w:color w:val="000000"/>
                <w:lang w:eastAsia="es-MX"/>
              </w:rPr>
              <w:t> </w:t>
            </w:r>
          </w:p>
          <w:p w14:paraId="60590002" w14:textId="77777777" w:rsidR="0008642D" w:rsidRPr="00F811C1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lang w:eastAsia="es-MX"/>
              </w:rPr>
              <w:t>AUXILIAR ADMNISTRATIVO SPP</w:t>
            </w:r>
          </w:p>
        </w:tc>
        <w:tc>
          <w:tcPr>
            <w:tcW w:w="5116" w:type="dxa"/>
            <w:tcBorders>
              <w:top w:val="double" w:sz="6" w:space="0" w:color="AEAAAA"/>
              <w:left w:val="nil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bottom"/>
            <w:hideMark/>
          </w:tcPr>
          <w:p w14:paraId="516224FE" w14:textId="77777777" w:rsidR="0008642D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F811C1">
              <w:rPr>
                <w:rFonts w:eastAsia="Times New Roman"/>
                <w:b/>
                <w:bCs/>
                <w:color w:val="000000"/>
                <w:lang w:eastAsia="es-MX"/>
              </w:rPr>
              <w:t> </w:t>
            </w:r>
          </w:p>
          <w:p w14:paraId="3D31FD10" w14:textId="77777777" w:rsidR="0008642D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  <w:p w14:paraId="41C63205" w14:textId="77777777" w:rsidR="0008642D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  <w:p w14:paraId="6B79B02C" w14:textId="77777777" w:rsidR="0008642D" w:rsidRPr="00F811C1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</w:p>
          <w:p w14:paraId="36687754" w14:textId="77777777" w:rsidR="0008642D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lang w:eastAsia="es-MX"/>
              </w:rPr>
              <w:t>LIC. JIMEL JOSÉ CABRERA BAQUEIRO.</w:t>
            </w:r>
            <w:r w:rsidRPr="00F811C1">
              <w:rPr>
                <w:rFonts w:eastAsia="Times New Roman"/>
                <w:b/>
                <w:bCs/>
                <w:color w:val="000000"/>
                <w:lang w:eastAsia="es-MX"/>
              </w:rPr>
              <w:t> </w:t>
            </w:r>
          </w:p>
          <w:p w14:paraId="60B6A85B" w14:textId="77777777" w:rsidR="0008642D" w:rsidRPr="00F811C1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lang w:eastAsia="es-MX"/>
              </w:rPr>
              <w:t>JEFE DEL DEPARTAMENTO DE SISTEMAS Y PROCEDIMIENTOS DE CONTROL.</w:t>
            </w:r>
          </w:p>
        </w:tc>
      </w:tr>
      <w:tr w:rsidR="0008642D" w:rsidRPr="00F811C1" w14:paraId="4F2EF811" w14:textId="77777777" w:rsidTr="0008642D">
        <w:trPr>
          <w:trHeight w:val="349"/>
        </w:trPr>
        <w:tc>
          <w:tcPr>
            <w:tcW w:w="5599" w:type="dxa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FFFFFF"/>
            <w:noWrap/>
            <w:vAlign w:val="bottom"/>
            <w:hideMark/>
          </w:tcPr>
          <w:p w14:paraId="06A7BAB3" w14:textId="77777777" w:rsidR="0008642D" w:rsidRPr="00F811C1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F811C1">
              <w:rPr>
                <w:rFonts w:eastAsia="Times New Roman"/>
                <w:color w:val="000000"/>
                <w:lang w:eastAsia="es-MX"/>
              </w:rPr>
              <w:t xml:space="preserve">Nombre y cargo </w:t>
            </w:r>
          </w:p>
        </w:tc>
        <w:tc>
          <w:tcPr>
            <w:tcW w:w="5116" w:type="dxa"/>
            <w:tcBorders>
              <w:top w:val="double" w:sz="6" w:space="0" w:color="AEAAAA"/>
              <w:left w:val="nil"/>
              <w:bottom w:val="double" w:sz="6" w:space="0" w:color="AEAAAA"/>
              <w:right w:val="double" w:sz="6" w:space="0" w:color="AEAAAA"/>
            </w:tcBorders>
            <w:shd w:val="clear" w:color="000000" w:fill="FFFFFF"/>
            <w:noWrap/>
            <w:vAlign w:val="bottom"/>
            <w:hideMark/>
          </w:tcPr>
          <w:p w14:paraId="6BB22444" w14:textId="77777777" w:rsidR="0008642D" w:rsidRPr="00F811C1" w:rsidRDefault="0008642D" w:rsidP="0008642D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F811C1">
              <w:rPr>
                <w:rFonts w:eastAsia="Times New Roman"/>
                <w:color w:val="000000"/>
                <w:lang w:eastAsia="es-MX"/>
              </w:rPr>
              <w:t xml:space="preserve"> </w:t>
            </w:r>
          </w:p>
          <w:p w14:paraId="2C262A3C" w14:textId="77777777" w:rsidR="0008642D" w:rsidRPr="00F811C1" w:rsidRDefault="0008642D" w:rsidP="0008642D">
            <w:pPr>
              <w:spacing w:after="0" w:line="240" w:lineRule="auto"/>
              <w:ind w:left="-284" w:hanging="142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F811C1">
              <w:rPr>
                <w:rFonts w:eastAsia="Times New Roman"/>
                <w:color w:val="000000"/>
                <w:lang w:eastAsia="es-MX"/>
              </w:rPr>
              <w:t xml:space="preserve">Nombre y cargo </w:t>
            </w:r>
          </w:p>
        </w:tc>
      </w:tr>
    </w:tbl>
    <w:tbl>
      <w:tblPr>
        <w:tblpPr w:leftFromText="141" w:rightFromText="141" w:vertAnchor="page" w:horzAnchor="page" w:tblpX="966" w:tblpY="6631"/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3475"/>
        <w:gridCol w:w="5406"/>
      </w:tblGrid>
      <w:tr w:rsidR="00FE4ABA" w:rsidRPr="004620C2" w14:paraId="059228A6" w14:textId="77777777" w:rsidTr="00FE4ABA">
        <w:trPr>
          <w:trHeight w:val="97"/>
        </w:trPr>
        <w:tc>
          <w:tcPr>
            <w:tcW w:w="10985" w:type="dxa"/>
            <w:gridSpan w:val="3"/>
            <w:tcBorders>
              <w:top w:val="double" w:sz="6" w:space="0" w:color="AEAAAA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33D821B7" w14:textId="77777777" w:rsidR="00FE4ABA" w:rsidRPr="004620C2" w:rsidRDefault="00FE4ABA" w:rsidP="00FE4A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>CONTROL DE CAMBIOS</w:t>
            </w:r>
          </w:p>
        </w:tc>
      </w:tr>
      <w:tr w:rsidR="00FE4ABA" w:rsidRPr="004620C2" w14:paraId="1167C349" w14:textId="77777777" w:rsidTr="00FE4ABA">
        <w:trPr>
          <w:trHeight w:val="330"/>
        </w:trPr>
        <w:tc>
          <w:tcPr>
            <w:tcW w:w="2104" w:type="dxa"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532E2080" w14:textId="77777777" w:rsidR="00FE4ABA" w:rsidRPr="004620C2" w:rsidRDefault="00FE4ABA" w:rsidP="00FE4A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>Fecha</w:t>
            </w:r>
          </w:p>
        </w:tc>
        <w:tc>
          <w:tcPr>
            <w:tcW w:w="3475" w:type="dxa"/>
            <w:tcBorders>
              <w:top w:val="double" w:sz="6" w:space="0" w:color="AEAAAA"/>
              <w:left w:val="nil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2BA1B12F" w14:textId="77777777" w:rsidR="00FE4ABA" w:rsidRPr="004620C2" w:rsidRDefault="00FE4ABA" w:rsidP="00FE4A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>Número de revisión</w:t>
            </w:r>
          </w:p>
        </w:tc>
        <w:tc>
          <w:tcPr>
            <w:tcW w:w="5406" w:type="dxa"/>
            <w:tcBorders>
              <w:top w:val="double" w:sz="6" w:space="0" w:color="AEAAAA"/>
              <w:left w:val="nil"/>
              <w:bottom w:val="double" w:sz="6" w:space="0" w:color="AEAAAA"/>
              <w:right w:val="double" w:sz="6" w:space="0" w:color="AEAAAA"/>
            </w:tcBorders>
            <w:shd w:val="clear" w:color="000000" w:fill="D0CECE"/>
            <w:noWrap/>
            <w:vAlign w:val="center"/>
            <w:hideMark/>
          </w:tcPr>
          <w:p w14:paraId="75171404" w14:textId="77777777" w:rsidR="00FE4ABA" w:rsidRPr="004620C2" w:rsidRDefault="00FE4ABA" w:rsidP="00FE4AB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MX"/>
              </w:rPr>
            </w:pPr>
            <w:r w:rsidRPr="004620C2">
              <w:rPr>
                <w:rFonts w:eastAsia="Times New Roman"/>
                <w:b/>
                <w:bCs/>
                <w:color w:val="000000"/>
                <w:lang w:eastAsia="es-MX"/>
              </w:rPr>
              <w:t>Actividad</w:t>
            </w:r>
          </w:p>
        </w:tc>
      </w:tr>
      <w:tr w:rsidR="00FE4ABA" w:rsidRPr="004620C2" w14:paraId="4F730B2B" w14:textId="77777777" w:rsidTr="00FE4ABA">
        <w:trPr>
          <w:trHeight w:val="330"/>
        </w:trPr>
        <w:tc>
          <w:tcPr>
            <w:tcW w:w="2104" w:type="dxa"/>
            <w:tcBorders>
              <w:top w:val="nil"/>
              <w:left w:val="double" w:sz="6" w:space="0" w:color="AEAAAA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54BB754D" w14:textId="77777777" w:rsidR="00FE4ABA" w:rsidRPr="004620C2" w:rsidRDefault="00FE4ABA" w:rsidP="00FE4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4620C2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3475" w:type="dxa"/>
            <w:tcBorders>
              <w:top w:val="double" w:sz="6" w:space="0" w:color="AEAAAA"/>
              <w:left w:val="nil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368FE423" w14:textId="77777777" w:rsidR="00FE4ABA" w:rsidRPr="004620C2" w:rsidRDefault="00FE4ABA" w:rsidP="00FE4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4620C2">
              <w:rPr>
                <w:rFonts w:eastAsia="Times New Roman"/>
                <w:color w:val="000000"/>
                <w:lang w:eastAsia="es-MX"/>
              </w:rPr>
              <w:t> </w:t>
            </w:r>
          </w:p>
        </w:tc>
        <w:tc>
          <w:tcPr>
            <w:tcW w:w="5406" w:type="dxa"/>
            <w:tcBorders>
              <w:top w:val="double" w:sz="6" w:space="0" w:color="AEAAAA"/>
              <w:left w:val="nil"/>
              <w:bottom w:val="double" w:sz="6" w:space="0" w:color="AEAAAA"/>
              <w:right w:val="double" w:sz="6" w:space="0" w:color="AEAAAA"/>
            </w:tcBorders>
            <w:shd w:val="clear" w:color="auto" w:fill="auto"/>
            <w:noWrap/>
            <w:vAlign w:val="center"/>
            <w:hideMark/>
          </w:tcPr>
          <w:p w14:paraId="492FF266" w14:textId="77777777" w:rsidR="00FE4ABA" w:rsidRPr="004620C2" w:rsidRDefault="00FE4ABA" w:rsidP="00FE4AB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4620C2">
              <w:rPr>
                <w:rFonts w:eastAsia="Times New Roman"/>
                <w:color w:val="000000"/>
                <w:lang w:eastAsia="es-MX"/>
              </w:rPr>
              <w:t> </w:t>
            </w:r>
          </w:p>
        </w:tc>
      </w:tr>
    </w:tbl>
    <w:p w14:paraId="36F4779A" w14:textId="77777777" w:rsidR="00761BA6" w:rsidRDefault="00761BA6" w:rsidP="005F00E0"/>
    <w:sectPr w:rsidR="00761BA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05F04" w14:textId="77777777" w:rsidR="00B05005" w:rsidRDefault="00B05005" w:rsidP="006659BE">
      <w:pPr>
        <w:spacing w:after="0" w:line="240" w:lineRule="auto"/>
      </w:pPr>
      <w:r>
        <w:separator/>
      </w:r>
    </w:p>
  </w:endnote>
  <w:endnote w:type="continuationSeparator" w:id="0">
    <w:p w14:paraId="13B5E827" w14:textId="77777777" w:rsidR="00B05005" w:rsidRDefault="00B05005" w:rsidP="0066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17BB7" w14:textId="77777777" w:rsidR="00B05005" w:rsidRDefault="00B05005" w:rsidP="006659BE">
      <w:pPr>
        <w:spacing w:after="0" w:line="240" w:lineRule="auto"/>
      </w:pPr>
      <w:r>
        <w:separator/>
      </w:r>
    </w:p>
  </w:footnote>
  <w:footnote w:type="continuationSeparator" w:id="0">
    <w:p w14:paraId="4FA31412" w14:textId="77777777" w:rsidR="00B05005" w:rsidRDefault="00B05005" w:rsidP="0066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B526F" w14:textId="77777777" w:rsidR="006659BE" w:rsidRDefault="006659B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997AF2A" wp14:editId="5B27A7FC">
          <wp:simplePos x="0" y="0"/>
          <wp:positionH relativeFrom="column">
            <wp:posOffset>-1250256</wp:posOffset>
          </wp:positionH>
          <wp:positionV relativeFrom="paragraph">
            <wp:posOffset>-321989</wp:posOffset>
          </wp:positionV>
          <wp:extent cx="7788275" cy="1026795"/>
          <wp:effectExtent l="0" t="0" r="3175" b="1905"/>
          <wp:wrapNone/>
          <wp:docPr id="10" name="Imagen 10" descr="s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ss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9" b="87565"/>
                  <a:stretch/>
                </pic:blipFill>
                <pic:spPr bwMode="auto">
                  <a:xfrm>
                    <a:off x="0" y="0"/>
                    <a:ext cx="77882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254"/>
    <w:multiLevelType w:val="multilevel"/>
    <w:tmpl w:val="976EE06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6A413CF"/>
    <w:multiLevelType w:val="hybridMultilevel"/>
    <w:tmpl w:val="4204FB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6355B2"/>
    <w:multiLevelType w:val="hybridMultilevel"/>
    <w:tmpl w:val="C6F4F77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BE"/>
    <w:rsid w:val="000527C7"/>
    <w:rsid w:val="00080454"/>
    <w:rsid w:val="0008642D"/>
    <w:rsid w:val="000906AC"/>
    <w:rsid w:val="000C19C1"/>
    <w:rsid w:val="000D34B2"/>
    <w:rsid w:val="001064E4"/>
    <w:rsid w:val="00124252"/>
    <w:rsid w:val="0015714D"/>
    <w:rsid w:val="001832D9"/>
    <w:rsid w:val="0019537A"/>
    <w:rsid w:val="001B6A0A"/>
    <w:rsid w:val="001D3022"/>
    <w:rsid w:val="00202D65"/>
    <w:rsid w:val="002149A4"/>
    <w:rsid w:val="00225CB9"/>
    <w:rsid w:val="00251AE5"/>
    <w:rsid w:val="0025513E"/>
    <w:rsid w:val="002B72DA"/>
    <w:rsid w:val="002C2B96"/>
    <w:rsid w:val="002E1CC0"/>
    <w:rsid w:val="00333A16"/>
    <w:rsid w:val="003354DC"/>
    <w:rsid w:val="003412D0"/>
    <w:rsid w:val="00351BFD"/>
    <w:rsid w:val="00396213"/>
    <w:rsid w:val="003B1C7E"/>
    <w:rsid w:val="004078AE"/>
    <w:rsid w:val="004122CD"/>
    <w:rsid w:val="004536CB"/>
    <w:rsid w:val="00456969"/>
    <w:rsid w:val="004620C2"/>
    <w:rsid w:val="00472B12"/>
    <w:rsid w:val="00473BCA"/>
    <w:rsid w:val="004B0C88"/>
    <w:rsid w:val="004D21FF"/>
    <w:rsid w:val="005110B7"/>
    <w:rsid w:val="0051655D"/>
    <w:rsid w:val="00543550"/>
    <w:rsid w:val="005C2F98"/>
    <w:rsid w:val="005F00E0"/>
    <w:rsid w:val="005F2FA4"/>
    <w:rsid w:val="0061544A"/>
    <w:rsid w:val="0063350D"/>
    <w:rsid w:val="006659BE"/>
    <w:rsid w:val="006776A4"/>
    <w:rsid w:val="00681FA2"/>
    <w:rsid w:val="00691216"/>
    <w:rsid w:val="006976AF"/>
    <w:rsid w:val="006C0CA1"/>
    <w:rsid w:val="006D7B06"/>
    <w:rsid w:val="006F20A3"/>
    <w:rsid w:val="00700279"/>
    <w:rsid w:val="0071212A"/>
    <w:rsid w:val="00712A9D"/>
    <w:rsid w:val="00723CE1"/>
    <w:rsid w:val="0072791D"/>
    <w:rsid w:val="007452C5"/>
    <w:rsid w:val="00761BA6"/>
    <w:rsid w:val="007A3A9B"/>
    <w:rsid w:val="007D7833"/>
    <w:rsid w:val="007E340F"/>
    <w:rsid w:val="007F4B8B"/>
    <w:rsid w:val="00821514"/>
    <w:rsid w:val="00830687"/>
    <w:rsid w:val="008365AA"/>
    <w:rsid w:val="00867387"/>
    <w:rsid w:val="00890699"/>
    <w:rsid w:val="008A47CF"/>
    <w:rsid w:val="008B044B"/>
    <w:rsid w:val="008B1A4A"/>
    <w:rsid w:val="008E27C7"/>
    <w:rsid w:val="00904978"/>
    <w:rsid w:val="00927461"/>
    <w:rsid w:val="00935A6B"/>
    <w:rsid w:val="00936F8C"/>
    <w:rsid w:val="009375C1"/>
    <w:rsid w:val="0094567B"/>
    <w:rsid w:val="0096635B"/>
    <w:rsid w:val="009804DD"/>
    <w:rsid w:val="009A7464"/>
    <w:rsid w:val="009C1AD1"/>
    <w:rsid w:val="009C4B83"/>
    <w:rsid w:val="009F15E7"/>
    <w:rsid w:val="00A028E1"/>
    <w:rsid w:val="00A030F3"/>
    <w:rsid w:val="00A54C69"/>
    <w:rsid w:val="00A82FA8"/>
    <w:rsid w:val="00A95FC1"/>
    <w:rsid w:val="00AC6459"/>
    <w:rsid w:val="00AD729C"/>
    <w:rsid w:val="00AE507C"/>
    <w:rsid w:val="00B05005"/>
    <w:rsid w:val="00B24CDE"/>
    <w:rsid w:val="00B331FA"/>
    <w:rsid w:val="00B67187"/>
    <w:rsid w:val="00BA0532"/>
    <w:rsid w:val="00BA50B9"/>
    <w:rsid w:val="00BB7A73"/>
    <w:rsid w:val="00BD705C"/>
    <w:rsid w:val="00BE3B41"/>
    <w:rsid w:val="00BF2AA0"/>
    <w:rsid w:val="00C068A2"/>
    <w:rsid w:val="00C25066"/>
    <w:rsid w:val="00C26430"/>
    <w:rsid w:val="00C35715"/>
    <w:rsid w:val="00C521BE"/>
    <w:rsid w:val="00C53A26"/>
    <w:rsid w:val="00C7028D"/>
    <w:rsid w:val="00C91329"/>
    <w:rsid w:val="00CC3F22"/>
    <w:rsid w:val="00CD4487"/>
    <w:rsid w:val="00CE12EC"/>
    <w:rsid w:val="00D02216"/>
    <w:rsid w:val="00D0757C"/>
    <w:rsid w:val="00D12C9C"/>
    <w:rsid w:val="00D14A09"/>
    <w:rsid w:val="00D275C9"/>
    <w:rsid w:val="00D52800"/>
    <w:rsid w:val="00D81223"/>
    <w:rsid w:val="00DA6AD0"/>
    <w:rsid w:val="00DB7EF4"/>
    <w:rsid w:val="00DC581A"/>
    <w:rsid w:val="00DD3DAC"/>
    <w:rsid w:val="00DD56D1"/>
    <w:rsid w:val="00DD72A5"/>
    <w:rsid w:val="00DE27E3"/>
    <w:rsid w:val="00DE4A60"/>
    <w:rsid w:val="00E02FCF"/>
    <w:rsid w:val="00E65248"/>
    <w:rsid w:val="00E67F8F"/>
    <w:rsid w:val="00E70BA2"/>
    <w:rsid w:val="00E83E7F"/>
    <w:rsid w:val="00EA7EAE"/>
    <w:rsid w:val="00EC4D59"/>
    <w:rsid w:val="00EC72D6"/>
    <w:rsid w:val="00ED0212"/>
    <w:rsid w:val="00ED62D4"/>
    <w:rsid w:val="00EF4890"/>
    <w:rsid w:val="00F25479"/>
    <w:rsid w:val="00F612A5"/>
    <w:rsid w:val="00F811C1"/>
    <w:rsid w:val="00FA2AE6"/>
    <w:rsid w:val="00FA5D4D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29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BE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9BE"/>
  </w:style>
  <w:style w:type="paragraph" w:styleId="Piedepgina">
    <w:name w:val="footer"/>
    <w:basedOn w:val="Normal"/>
    <w:link w:val="PiedepginaCar"/>
    <w:uiPriority w:val="99"/>
    <w:unhideWhenUsed/>
    <w:rsid w:val="00665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9BE"/>
  </w:style>
  <w:style w:type="paragraph" w:styleId="Prrafodelista">
    <w:name w:val="List Paragraph"/>
    <w:basedOn w:val="Normal"/>
    <w:uiPriority w:val="34"/>
    <w:qFormat/>
    <w:rsid w:val="006659B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1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9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BE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9BE"/>
  </w:style>
  <w:style w:type="paragraph" w:styleId="Piedepgina">
    <w:name w:val="footer"/>
    <w:basedOn w:val="Normal"/>
    <w:link w:val="PiedepginaCar"/>
    <w:uiPriority w:val="99"/>
    <w:unhideWhenUsed/>
    <w:rsid w:val="00665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9BE"/>
  </w:style>
  <w:style w:type="paragraph" w:styleId="Prrafodelista">
    <w:name w:val="List Paragraph"/>
    <w:basedOn w:val="Normal"/>
    <w:uiPriority w:val="34"/>
    <w:qFormat/>
    <w:rsid w:val="006659B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1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9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CALEA</dc:creator>
  <cp:lastModifiedBy>Yaneli Patricia Conrado Alayon</cp:lastModifiedBy>
  <cp:revision>2</cp:revision>
  <cp:lastPrinted>2019-08-06T16:02:00Z</cp:lastPrinted>
  <dcterms:created xsi:type="dcterms:W3CDTF">2019-08-06T17:02:00Z</dcterms:created>
  <dcterms:modified xsi:type="dcterms:W3CDTF">2019-08-06T17:02:00Z</dcterms:modified>
</cp:coreProperties>
</file>